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E9547" w14:textId="5780BDC2" w:rsidR="7359AB00" w:rsidRDefault="3EC402EF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  <w:sz w:val="28"/>
          <w:szCs w:val="28"/>
          <w:u w:val="single"/>
        </w:rPr>
      </w:pPr>
      <w:r w:rsidRPr="3EC402EF">
        <w:rPr>
          <w:rFonts w:ascii="Malgun Gothic" w:eastAsia="Malgun Gothic" w:hAnsi="Malgun Gothic" w:cs="Malgun Gothic"/>
          <w:b/>
          <w:bCs/>
          <w:sz w:val="28"/>
          <w:szCs w:val="28"/>
          <w:u w:val="single"/>
        </w:rPr>
        <w:t>Have you done some PD this year?</w:t>
      </w:r>
    </w:p>
    <w:p w14:paraId="525A1C89" w14:textId="279912AB" w:rsidR="3EC402EF" w:rsidRDefault="3EC402EF" w:rsidP="3EC402EF">
      <w:pPr>
        <w:spacing w:line="240" w:lineRule="auto"/>
        <w:rPr>
          <w:rFonts w:ascii="Malgun Gothic" w:eastAsia="Malgun Gothic" w:hAnsi="Malgun Gothic" w:cs="Malgun Gothic"/>
        </w:rPr>
      </w:pPr>
    </w:p>
    <w:p w14:paraId="255679FC" w14:textId="13C2E437" w:rsidR="0085475F" w:rsidRDefault="4B0F8792" w:rsidP="4B0F8792">
      <w:pPr>
        <w:spacing w:line="240" w:lineRule="auto"/>
        <w:rPr>
          <w:rFonts w:ascii="Malgun Gothic" w:eastAsia="Malgun Gothic" w:hAnsi="Malgun Gothic" w:cs="Malgun Gothic"/>
        </w:rPr>
      </w:pPr>
      <w:r w:rsidRPr="4B0F8792">
        <w:rPr>
          <w:rFonts w:ascii="Malgun Gothic" w:eastAsia="Malgun Gothic" w:hAnsi="Malgun Gothic" w:cs="Malgun Gothic"/>
        </w:rPr>
        <w:t xml:space="preserve">MSOT wants to continue to give back to the membership and support members in their professional development.  </w:t>
      </w:r>
    </w:p>
    <w:p w14:paraId="313D8B5B" w14:textId="0D1139A8" w:rsidR="0085475F" w:rsidRDefault="4B0F8792" w:rsidP="4B0F8792">
      <w:pPr>
        <w:spacing w:line="240" w:lineRule="auto"/>
        <w:rPr>
          <w:rFonts w:ascii="Malgun Gothic" w:eastAsia="Malgun Gothic" w:hAnsi="Malgun Gothic" w:cs="Malgun Gothic"/>
        </w:rPr>
      </w:pPr>
      <w:r w:rsidRPr="4B0F8792">
        <w:rPr>
          <w:rFonts w:ascii="Malgun Gothic" w:eastAsia="Malgun Gothic" w:hAnsi="Malgun Gothic" w:cs="Malgun Gothic"/>
        </w:rPr>
        <w:t xml:space="preserve">The PD bursary was created to help members fund their professional development.  The bursary is retroactive for PD done last year </w:t>
      </w:r>
      <w:r w:rsidR="00EE0754">
        <w:rPr>
          <w:rFonts w:ascii="Malgun Gothic" w:eastAsia="Malgun Gothic" w:hAnsi="Malgun Gothic" w:cs="Malgun Gothic"/>
          <w:u w:val="single"/>
        </w:rPr>
        <w:t>(between March 1, 2018 and February 28, 2019</w:t>
      </w:r>
      <w:r w:rsidRPr="4B0F8792">
        <w:rPr>
          <w:rFonts w:ascii="Malgun Gothic" w:eastAsia="Malgun Gothic" w:hAnsi="Malgun Gothic" w:cs="Malgun Gothic"/>
          <w:u w:val="single"/>
        </w:rPr>
        <w:t>).</w:t>
      </w:r>
      <w:r w:rsidRPr="4B0F8792">
        <w:rPr>
          <w:rFonts w:ascii="Malgun Gothic" w:eastAsia="Malgun Gothic" w:hAnsi="Malgun Gothic" w:cs="Malgun Gothic"/>
        </w:rPr>
        <w:t xml:space="preserve">  It is a $200 bursary meant to supplement other funding.  Because it is drawn randomly it is important to submit your application to the </w:t>
      </w:r>
      <w:r w:rsidRPr="4B0F8792">
        <w:rPr>
          <w:rFonts w:ascii="Malgun Gothic" w:eastAsia="Malgun Gothic" w:hAnsi="Malgun Gothic" w:cs="Malgun Gothic"/>
          <w:b/>
          <w:bCs/>
        </w:rPr>
        <w:t xml:space="preserve">MSOT office by March </w:t>
      </w:r>
      <w:proofErr w:type="gramStart"/>
      <w:r w:rsidRPr="4B0F8792">
        <w:rPr>
          <w:rFonts w:ascii="Malgun Gothic" w:eastAsia="Malgun Gothic" w:hAnsi="Malgun Gothic" w:cs="Malgun Gothic"/>
          <w:b/>
          <w:bCs/>
        </w:rPr>
        <w:t>1</w:t>
      </w:r>
      <w:r w:rsidRPr="4B0F8792">
        <w:rPr>
          <w:rFonts w:ascii="Malgun Gothic" w:eastAsia="Malgun Gothic" w:hAnsi="Malgun Gothic" w:cs="Malgun Gothic"/>
          <w:b/>
          <w:bCs/>
          <w:vertAlign w:val="superscript"/>
        </w:rPr>
        <w:t>st</w:t>
      </w:r>
      <w:proofErr w:type="gramEnd"/>
      <w:r w:rsidRPr="4B0F8792">
        <w:rPr>
          <w:rFonts w:ascii="Malgun Gothic" w:eastAsia="Malgun Gothic" w:hAnsi="Malgun Gothic" w:cs="Malgun Gothic"/>
          <w:b/>
          <w:bCs/>
        </w:rPr>
        <w:t xml:space="preserve"> 201</w:t>
      </w:r>
      <w:r w:rsidR="00AA03CE">
        <w:rPr>
          <w:rFonts w:ascii="Malgun Gothic" w:eastAsia="Malgun Gothic" w:hAnsi="Malgun Gothic" w:cs="Malgun Gothic"/>
          <w:b/>
          <w:bCs/>
        </w:rPr>
        <w:t>9</w:t>
      </w:r>
      <w:r w:rsidRPr="4B0F8792">
        <w:rPr>
          <w:rFonts w:ascii="Malgun Gothic" w:eastAsia="Malgun Gothic" w:hAnsi="Malgun Gothic" w:cs="Malgun Gothic"/>
        </w:rPr>
        <w:t>.  It is a great opportunity to receive a little extra support for t</w:t>
      </w:r>
      <w:r w:rsidR="00AA03CE">
        <w:rPr>
          <w:rFonts w:ascii="Malgun Gothic" w:eastAsia="Malgun Gothic" w:hAnsi="Malgun Gothic" w:cs="Malgun Gothic"/>
        </w:rPr>
        <w:t xml:space="preserve">he PD that you have attended. </w:t>
      </w:r>
      <w:r w:rsidRPr="4B0F8792">
        <w:rPr>
          <w:rFonts w:ascii="Malgun Gothic" w:eastAsia="Malgun Gothic" w:hAnsi="Malgun Gothic" w:cs="Malgun Gothic"/>
        </w:rPr>
        <w:t xml:space="preserve">Please see below for the description and criteria for the award.  The application is on-line at </w:t>
      </w:r>
      <w:r w:rsidRPr="4B0F8792">
        <w:rPr>
          <w:rFonts w:ascii="Malgun Gothic" w:eastAsia="Malgun Gothic" w:hAnsi="Malgun Gothic" w:cs="Malgun Gothic"/>
          <w:color w:val="1F487C"/>
          <w:u w:val="single"/>
        </w:rPr>
        <w:t>most.mb.ca</w:t>
      </w:r>
      <w:r w:rsidRPr="4B0F8792">
        <w:rPr>
          <w:rFonts w:ascii="Malgun Gothic" w:eastAsia="Malgun Gothic" w:hAnsi="Malgun Gothic" w:cs="Malgun Gothic"/>
        </w:rPr>
        <w:t>.</w:t>
      </w:r>
    </w:p>
    <w:p w14:paraId="7C7EBA5A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24C00F6D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771C7E78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1B2CB270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1CC63B72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7BE34633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5908FECC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4923C415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7C2629A6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5F18C535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54525E7D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76FFD240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4F31D038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450DCEA2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3DBCF1F8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149B9E20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310DDBBC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7BB39848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33E5EBF5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1699DBC4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2790A5CD" w14:textId="77777777" w:rsidR="00D91FD2" w:rsidRDefault="00D91FD2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</w:p>
    <w:p w14:paraId="540092F8" w14:textId="0DCE6AFC" w:rsidR="0085475F" w:rsidRDefault="3EC402EF" w:rsidP="3EC402EF">
      <w:pPr>
        <w:spacing w:after="0" w:line="240" w:lineRule="auto"/>
        <w:jc w:val="center"/>
        <w:rPr>
          <w:rFonts w:ascii="Malgun Gothic" w:eastAsia="Malgun Gothic" w:hAnsi="Malgun Gothic" w:cs="Malgun Gothic"/>
          <w:b/>
          <w:bCs/>
        </w:rPr>
      </w:pPr>
      <w:r w:rsidRPr="3EC402EF">
        <w:rPr>
          <w:rFonts w:ascii="Malgun Gothic" w:eastAsia="Malgun Gothic" w:hAnsi="Malgun Gothic" w:cs="Malgun Gothic"/>
          <w:b/>
          <w:bCs/>
        </w:rPr>
        <w:lastRenderedPageBreak/>
        <w:t xml:space="preserve">MSOT Professional Development Bursary </w:t>
      </w:r>
    </w:p>
    <w:p w14:paraId="3F098177" w14:textId="77777777" w:rsidR="0085475F" w:rsidRDefault="3EC402EF" w:rsidP="3EC402EF">
      <w:pPr>
        <w:spacing w:after="0" w:line="240" w:lineRule="auto"/>
        <w:jc w:val="center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Description and Criteria</w:t>
      </w:r>
    </w:p>
    <w:p w14:paraId="425A4EB9" w14:textId="38DE7A85" w:rsidR="0085475F" w:rsidRDefault="3EC402EF" w:rsidP="3EC402EF">
      <w:pPr>
        <w:spacing w:after="0" w:line="240" w:lineRule="auto"/>
        <w:rPr>
          <w:rFonts w:ascii="Malgun Gothic" w:eastAsia="Malgun Gothic" w:hAnsi="Malgun Gothic" w:cs="Malgun Gothic"/>
          <w:u w:val="single"/>
        </w:rPr>
      </w:pPr>
      <w:r w:rsidRPr="3EC402EF">
        <w:rPr>
          <w:rFonts w:ascii="Malgun Gothic" w:eastAsia="Malgun Gothic" w:hAnsi="Malgun Gothic" w:cs="Malgun Gothic"/>
          <w:u w:val="single"/>
        </w:rPr>
        <w:t>Bursary Description</w:t>
      </w:r>
    </w:p>
    <w:p w14:paraId="38D1F6B9" w14:textId="77777777" w:rsidR="0085475F" w:rsidRDefault="0085475F" w:rsidP="3EC402EF">
      <w:pPr>
        <w:spacing w:after="0" w:line="240" w:lineRule="auto"/>
        <w:rPr>
          <w:rFonts w:ascii="Malgun Gothic" w:eastAsia="Malgun Gothic" w:hAnsi="Malgun Gothic" w:cs="Malgun Gothic"/>
        </w:rPr>
      </w:pPr>
    </w:p>
    <w:p w14:paraId="5A86B739" w14:textId="7DCD6E4F" w:rsidR="0085475F" w:rsidRDefault="3EC402EF" w:rsidP="3EC402EF">
      <w:p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MSOT supports the continuing profession</w:t>
      </w:r>
      <w:r w:rsidR="00797F90">
        <w:rPr>
          <w:rFonts w:ascii="Malgun Gothic" w:eastAsia="Malgun Gothic" w:hAnsi="Malgun Gothic" w:cs="Malgun Gothic"/>
        </w:rPr>
        <w:t xml:space="preserve">al development of its members. </w:t>
      </w:r>
      <w:r w:rsidRPr="3EC402EF">
        <w:rPr>
          <w:rFonts w:ascii="Malgun Gothic" w:eastAsia="Malgun Gothic" w:hAnsi="Malgun Gothic" w:cs="Malgun Gothic"/>
        </w:rPr>
        <w:t xml:space="preserve">This bursary was created to provide financial assistance to an Active MSOT member who has attended or participated in a professional development event and has incurred a personal expense </w:t>
      </w:r>
      <w:r w:rsidR="00797F90">
        <w:rPr>
          <w:rFonts w:ascii="Malgun Gothic" w:eastAsia="Malgun Gothic" w:hAnsi="Malgun Gothic" w:cs="Malgun Gothic"/>
        </w:rPr>
        <w:t xml:space="preserve">greater than $200 as a result. </w:t>
      </w:r>
      <w:r w:rsidRPr="3EC402EF">
        <w:rPr>
          <w:rFonts w:ascii="Malgun Gothic" w:eastAsia="Malgun Gothic" w:hAnsi="Malgun Gothic" w:cs="Malgun Gothic"/>
        </w:rPr>
        <w:t xml:space="preserve">This bursary is retroactive and is meant to supplement payment rather than fully fund the cost of the member’s professional development for a single event or activity costing more than $200.  </w:t>
      </w:r>
    </w:p>
    <w:p w14:paraId="373D66B3" w14:textId="51326FAB" w:rsidR="0085475F" w:rsidRDefault="0085475F" w:rsidP="3EC402EF">
      <w:pPr>
        <w:spacing w:after="0" w:line="240" w:lineRule="auto"/>
        <w:rPr>
          <w:rFonts w:ascii="Malgun Gothic" w:eastAsia="Malgun Gothic" w:hAnsi="Malgun Gothic" w:cs="Malgun Gothic"/>
        </w:rPr>
      </w:pPr>
    </w:p>
    <w:p w14:paraId="6EF35254" w14:textId="31AF6ACD" w:rsidR="0085475F" w:rsidRPr="00B162CE" w:rsidRDefault="3EC402EF" w:rsidP="3EC402EF">
      <w:pPr>
        <w:spacing w:after="0" w:line="240" w:lineRule="auto"/>
        <w:rPr>
          <w:rFonts w:ascii="Malgun Gothic" w:eastAsia="Malgun Gothic" w:hAnsi="Malgun Gothic" w:cs="Malgun Gothic"/>
          <w:u w:val="single"/>
        </w:rPr>
      </w:pPr>
      <w:r w:rsidRPr="3EC402EF">
        <w:rPr>
          <w:rFonts w:ascii="Malgun Gothic" w:eastAsia="Malgun Gothic" w:hAnsi="Malgun Gothic" w:cs="Malgun Gothic"/>
          <w:u w:val="single"/>
        </w:rPr>
        <w:t>Criteria for selection of the MSOT Professional Development Bursary</w:t>
      </w:r>
    </w:p>
    <w:p w14:paraId="07E13C8F" w14:textId="77777777" w:rsidR="0085475F" w:rsidRDefault="0085475F" w:rsidP="3EC402EF">
      <w:pPr>
        <w:spacing w:after="0" w:line="240" w:lineRule="auto"/>
        <w:rPr>
          <w:rFonts w:ascii="Malgun Gothic" w:eastAsia="Malgun Gothic" w:hAnsi="Malgun Gothic" w:cs="Malgun Gothic"/>
          <w:b/>
          <w:bCs/>
        </w:rPr>
      </w:pPr>
    </w:p>
    <w:p w14:paraId="6A856FC5" w14:textId="7C5EB255" w:rsidR="0085475F" w:rsidRDefault="3EC402EF" w:rsidP="3EC402EF">
      <w:p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This bursary will be presented annually in the spring at the OT Celebration Night.  Applications must be made by completing the MSOT PD Bursary Form and submitting by March 1</w:t>
      </w:r>
      <w:r w:rsidR="00BD4C5A">
        <w:rPr>
          <w:rFonts w:ascii="Malgun Gothic" w:eastAsia="Malgun Gothic" w:hAnsi="Malgun Gothic" w:cs="Malgun Gothic"/>
        </w:rPr>
        <w:t>, 2019</w:t>
      </w:r>
      <w:r w:rsidRPr="3EC402EF">
        <w:rPr>
          <w:rFonts w:ascii="Malgun Gothic" w:eastAsia="Malgun Gothic" w:hAnsi="Malgun Gothic" w:cs="Malgun Gothic"/>
        </w:rPr>
        <w:t xml:space="preserve"> to </w:t>
      </w:r>
      <w:hyperlink r:id="rId7">
        <w:r w:rsidRPr="3EC402EF">
          <w:rPr>
            <w:rStyle w:val="Hyperlink"/>
            <w:rFonts w:ascii="Malgun Gothic" w:eastAsia="Malgun Gothic" w:hAnsi="Malgun Gothic" w:cs="Malgun Gothic"/>
          </w:rPr>
          <w:t>msotawardsandnominations@gmail.com</w:t>
        </w:r>
      </w:hyperlink>
      <w:r w:rsidRPr="3EC402EF">
        <w:rPr>
          <w:rFonts w:ascii="Malgun Gothic" w:eastAsia="Malgun Gothic" w:hAnsi="Malgun Gothic" w:cs="Malgun Gothic"/>
        </w:rPr>
        <w:t xml:space="preserve">  or by mail to MSOT Awards, #7-120 Maryland, Winnipeg</w:t>
      </w:r>
      <w:r w:rsidR="00BD4C5A">
        <w:rPr>
          <w:rFonts w:ascii="Malgun Gothic" w:eastAsia="Malgun Gothic" w:hAnsi="Malgun Gothic" w:cs="Malgun Gothic"/>
        </w:rPr>
        <w:t xml:space="preserve">, </w:t>
      </w:r>
      <w:r w:rsidRPr="3EC402EF">
        <w:rPr>
          <w:rFonts w:ascii="Malgun Gothic" w:eastAsia="Malgun Gothic" w:hAnsi="Malgun Gothic" w:cs="Malgun Gothic"/>
        </w:rPr>
        <w:t>MB, R3G 1L1.</w:t>
      </w:r>
    </w:p>
    <w:p w14:paraId="6F5EE1E6" w14:textId="77777777" w:rsidR="0085475F" w:rsidRDefault="0085475F" w:rsidP="3EC402EF">
      <w:pPr>
        <w:spacing w:after="0" w:line="240" w:lineRule="auto"/>
        <w:rPr>
          <w:rFonts w:ascii="Malgun Gothic" w:eastAsia="Malgun Gothic" w:hAnsi="Malgun Gothic" w:cs="Malgun Gothic"/>
        </w:rPr>
      </w:pPr>
    </w:p>
    <w:p w14:paraId="687FF3F1" w14:textId="77777777" w:rsidR="0085475F" w:rsidRDefault="3EC402EF" w:rsidP="3EC402EF">
      <w:p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 xml:space="preserve">The award will be drawn randomly from eligible submissions received by the deadline each year.  </w:t>
      </w:r>
    </w:p>
    <w:p w14:paraId="3094F433" w14:textId="77777777" w:rsidR="0085475F" w:rsidRDefault="0085475F" w:rsidP="3EC402EF">
      <w:pPr>
        <w:spacing w:after="0" w:line="240" w:lineRule="auto"/>
        <w:rPr>
          <w:rFonts w:ascii="Malgun Gothic" w:eastAsia="Malgun Gothic" w:hAnsi="Malgun Gothic" w:cs="Malgun Gothic"/>
        </w:rPr>
      </w:pPr>
    </w:p>
    <w:p w14:paraId="591ABCC3" w14:textId="77777777" w:rsidR="0085475F" w:rsidRDefault="3EC402EF" w:rsidP="3EC402EF">
      <w:p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Specific Criteria:</w:t>
      </w:r>
    </w:p>
    <w:p w14:paraId="6DE2AB79" w14:textId="77777777" w:rsidR="0085475F" w:rsidRDefault="3EC402EF" w:rsidP="3EC402EF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Must be an MSOT member in good standing for a minimum of 1 year prior to application for the PDA</w:t>
      </w:r>
    </w:p>
    <w:p w14:paraId="0D9B3BA0" w14:textId="600EFE4E" w:rsidR="0085475F" w:rsidRDefault="3EC402EF" w:rsidP="3EC402EF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 xml:space="preserve">Must complete the current MSOT Professional Development Bursary Form and submit to the MSOT Awards Committee chair by </w:t>
      </w:r>
      <w:r w:rsidRPr="3EC402EF">
        <w:rPr>
          <w:rFonts w:ascii="Malgun Gothic" w:eastAsia="Malgun Gothic" w:hAnsi="Malgun Gothic" w:cs="Malgun Gothic"/>
          <w:b/>
          <w:bCs/>
        </w:rPr>
        <w:t>March 1</w:t>
      </w:r>
      <w:r w:rsidR="00CD300F">
        <w:rPr>
          <w:rFonts w:ascii="Malgun Gothic" w:eastAsia="Malgun Gothic" w:hAnsi="Malgun Gothic" w:cs="Malgun Gothic"/>
          <w:b/>
          <w:bCs/>
        </w:rPr>
        <w:t>, 2019</w:t>
      </w:r>
      <w:r w:rsidRPr="3EC402EF">
        <w:rPr>
          <w:rFonts w:ascii="Malgun Gothic" w:eastAsia="Malgun Gothic" w:hAnsi="Malgun Gothic" w:cs="Malgun Gothic"/>
          <w:b/>
          <w:bCs/>
        </w:rPr>
        <w:t>.</w:t>
      </w:r>
    </w:p>
    <w:p w14:paraId="75A80EA3" w14:textId="3D6CC891" w:rsidR="7359AB00" w:rsidRDefault="3EC402EF" w:rsidP="3EC402EF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Only one application per member may be submitted.</w:t>
      </w:r>
    </w:p>
    <w:p w14:paraId="18D12135" w14:textId="77777777" w:rsidR="0085475F" w:rsidRDefault="3EC402EF" w:rsidP="3EC402EF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Must submit a copy of the PD activity receipts totalling at least $200.  (The professional development must have occurred between March 1 of the current and February 28 of the prior year.)</w:t>
      </w:r>
    </w:p>
    <w:p w14:paraId="3A9ACF0A" w14:textId="252B7ABC" w:rsidR="00F715FA" w:rsidRDefault="3EC402EF" w:rsidP="00D91FD2">
      <w:pPr>
        <w:pStyle w:val="ListParagraph"/>
        <w:numPr>
          <w:ilvl w:val="0"/>
          <w:numId w:val="1"/>
        </w:numPr>
        <w:spacing w:after="0" w:line="240" w:lineRule="auto"/>
        <w:rPr>
          <w:rFonts w:ascii="Malgun Gothic" w:eastAsia="Malgun Gothic" w:hAnsi="Malgun Gothic" w:cs="Malgun Gothic"/>
        </w:rPr>
      </w:pPr>
      <w:r w:rsidRPr="3EC402EF">
        <w:rPr>
          <w:rFonts w:ascii="Malgun Gothic" w:eastAsia="Malgun Gothic" w:hAnsi="Malgun Gothic" w:cs="Malgun Gothic"/>
        </w:rPr>
        <w:t>Must declare receipt of any additional financial support received for the PD event (i.e. from your employer, a community agency, etc.</w:t>
      </w:r>
    </w:p>
    <w:p w14:paraId="10104974" w14:textId="77777777" w:rsidR="00D91FD2" w:rsidRDefault="00D91FD2" w:rsidP="00D91FD2">
      <w:pPr>
        <w:spacing w:after="0" w:line="240" w:lineRule="auto"/>
        <w:rPr>
          <w:rFonts w:ascii="Malgun Gothic" w:eastAsia="Malgun Gothic" w:hAnsi="Malgun Gothic" w:cs="Malgun Gothic"/>
        </w:rPr>
      </w:pPr>
    </w:p>
    <w:p w14:paraId="7753F563" w14:textId="77777777" w:rsidR="00D91FD2" w:rsidRPr="00D91FD2" w:rsidRDefault="00D91FD2" w:rsidP="00D91FD2">
      <w:pPr>
        <w:spacing w:after="0" w:line="240" w:lineRule="auto"/>
        <w:rPr>
          <w:rFonts w:ascii="Malgun Gothic" w:eastAsia="Malgun Gothic" w:hAnsi="Malgun Gothic" w:cs="Malgun Gothic"/>
        </w:rPr>
      </w:pPr>
    </w:p>
    <w:p w14:paraId="1B0485DA" w14:textId="77777777" w:rsidR="00F715FA" w:rsidRPr="002D409B" w:rsidRDefault="00F715FA" w:rsidP="00F715FA">
      <w:pPr>
        <w:spacing w:line="240" w:lineRule="auto"/>
        <w:jc w:val="center"/>
      </w:pPr>
      <w:r w:rsidRPr="002D409B">
        <w:rPr>
          <w:b/>
          <w:sz w:val="32"/>
        </w:rPr>
        <w:lastRenderedPageBreak/>
        <w:t xml:space="preserve">MSOT PROFESSIONAL DEVELOPMENT </w:t>
      </w:r>
      <w:r>
        <w:rPr>
          <w:b/>
          <w:sz w:val="32"/>
        </w:rPr>
        <w:t>BURSARY</w:t>
      </w:r>
      <w:r w:rsidRPr="002D409B">
        <w:rPr>
          <w:b/>
          <w:sz w:val="32"/>
        </w:rPr>
        <w:t xml:space="preserve"> FORM</w:t>
      </w:r>
    </w:p>
    <w:p w14:paraId="7DB51244" w14:textId="6005929D" w:rsidR="00F715FA" w:rsidRPr="00F715FA" w:rsidRDefault="00F715FA" w:rsidP="00F715FA">
      <w:pPr>
        <w:pStyle w:val="ListParagraph"/>
        <w:spacing w:after="0" w:line="240" w:lineRule="auto"/>
        <w:jc w:val="center"/>
      </w:pPr>
      <w:r w:rsidRPr="00F56617">
        <w:t xml:space="preserve">This </w:t>
      </w:r>
      <w:r>
        <w:t>bursary</w:t>
      </w:r>
      <w:r w:rsidRPr="00F56617">
        <w:t xml:space="preserve"> is intended to help </w:t>
      </w:r>
      <w:r>
        <w:t>cover</w:t>
      </w:r>
      <w:r w:rsidRPr="00F56617">
        <w:t xml:space="preserve"> the cost of a</w:t>
      </w:r>
      <w:r>
        <w:t xml:space="preserve"> single</w:t>
      </w:r>
      <w:r w:rsidRPr="00F56617">
        <w:t xml:space="preserve"> PD event</w:t>
      </w:r>
      <w:r>
        <w:t xml:space="preserve"> that is not funded by another source (employer, grant or award) for an Active MSOT member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6322"/>
      </w:tblGrid>
      <w:tr w:rsidR="00F715FA" w:rsidRPr="000F4B9E" w14:paraId="13E05B2B" w14:textId="77777777" w:rsidTr="001855D7">
        <w:trPr>
          <w:cantSplit/>
          <w:trHeight w:val="648"/>
        </w:trPr>
        <w:tc>
          <w:tcPr>
            <w:tcW w:w="2880" w:type="dxa"/>
            <w:vAlign w:val="center"/>
          </w:tcPr>
          <w:p w14:paraId="268AB6F0" w14:textId="77777777" w:rsidR="00F715FA" w:rsidRDefault="00F715FA" w:rsidP="001855D7">
            <w:pPr>
              <w:pStyle w:val="ListParagraph"/>
              <w:ind w:left="0"/>
              <w:rPr>
                <w:b/>
              </w:rPr>
            </w:pPr>
            <w:r w:rsidRPr="00F56617">
              <w:rPr>
                <w:b/>
              </w:rPr>
              <w:t xml:space="preserve">MSOT MEMBER NAME: </w:t>
            </w:r>
          </w:p>
          <w:p w14:paraId="3298CEF5" w14:textId="77777777" w:rsidR="00F715FA" w:rsidRPr="00F56617" w:rsidRDefault="00F715FA" w:rsidP="001855D7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498" w:type="dxa"/>
            <w:tcBorders>
              <w:bottom w:val="single" w:sz="4" w:space="0" w:color="auto"/>
            </w:tcBorders>
          </w:tcPr>
          <w:p w14:paraId="2B486891" w14:textId="77777777" w:rsidR="00F715FA" w:rsidRPr="000F4B9E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0F4B9E" w14:paraId="37448688" w14:textId="77777777" w:rsidTr="001855D7">
        <w:trPr>
          <w:cantSplit/>
          <w:trHeight w:val="648"/>
        </w:trPr>
        <w:tc>
          <w:tcPr>
            <w:tcW w:w="2880" w:type="dxa"/>
            <w:vAlign w:val="center"/>
          </w:tcPr>
          <w:p w14:paraId="211647F4" w14:textId="77777777" w:rsidR="00F715FA" w:rsidRPr="00F56617" w:rsidRDefault="00F715FA" w:rsidP="001855D7">
            <w:pPr>
              <w:pStyle w:val="ListParagraph"/>
              <w:spacing w:after="200"/>
              <w:ind w:left="0"/>
              <w:rPr>
                <w:b/>
              </w:rPr>
            </w:pPr>
            <w:r w:rsidRPr="00F56617">
              <w:rPr>
                <w:b/>
              </w:rPr>
              <w:t>DATE OF PD EVENT: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6ED3327B" w14:textId="77777777" w:rsidR="00F715FA" w:rsidRPr="000F4B9E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0F4B9E" w14:paraId="5D92A223" w14:textId="77777777" w:rsidTr="001855D7">
        <w:trPr>
          <w:cantSplit/>
          <w:trHeight w:val="648"/>
        </w:trPr>
        <w:tc>
          <w:tcPr>
            <w:tcW w:w="2880" w:type="dxa"/>
            <w:vMerge w:val="restart"/>
            <w:vAlign w:val="center"/>
          </w:tcPr>
          <w:p w14:paraId="5AE9CDF8" w14:textId="77777777" w:rsidR="00F715FA" w:rsidRPr="00F56617" w:rsidRDefault="00F715FA" w:rsidP="001855D7">
            <w:pPr>
              <w:pStyle w:val="ListParagraph"/>
              <w:ind w:left="0"/>
              <w:rPr>
                <w:b/>
              </w:rPr>
            </w:pPr>
            <w:r w:rsidRPr="00F56617">
              <w:rPr>
                <w:b/>
              </w:rPr>
              <w:t>TITLE: (of Professional Development Course, Workshop or Conference)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568F96A2" w14:textId="77777777" w:rsidR="00F715FA" w:rsidRPr="000F4B9E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0F4B9E" w14:paraId="659E0662" w14:textId="77777777" w:rsidTr="001855D7">
        <w:trPr>
          <w:cantSplit/>
          <w:trHeight w:val="648"/>
        </w:trPr>
        <w:tc>
          <w:tcPr>
            <w:tcW w:w="2880" w:type="dxa"/>
            <w:vMerge/>
            <w:vAlign w:val="center"/>
          </w:tcPr>
          <w:p w14:paraId="5D62F806" w14:textId="77777777" w:rsidR="00F715FA" w:rsidRPr="00FB7FF2" w:rsidRDefault="00F715FA" w:rsidP="001855D7">
            <w:pPr>
              <w:pStyle w:val="ListParagraph"/>
              <w:spacing w:after="200"/>
              <w:ind w:left="0"/>
              <w:rPr>
                <w:b/>
              </w:rPr>
            </w:pP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38D1D9D1" w14:textId="77777777" w:rsidR="00F715FA" w:rsidRPr="000F4B9E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0F4B9E" w14:paraId="0BC3DEA4" w14:textId="77777777" w:rsidTr="001855D7">
        <w:trPr>
          <w:cantSplit/>
          <w:trHeight w:val="648"/>
        </w:trPr>
        <w:tc>
          <w:tcPr>
            <w:tcW w:w="2880" w:type="dxa"/>
            <w:vAlign w:val="center"/>
          </w:tcPr>
          <w:p w14:paraId="7A67C72C" w14:textId="77777777" w:rsidR="00F715FA" w:rsidRPr="00F56617" w:rsidRDefault="00F715FA" w:rsidP="001855D7">
            <w:pPr>
              <w:pStyle w:val="ListParagraph"/>
              <w:ind w:left="0"/>
              <w:rPr>
                <w:b/>
              </w:rPr>
            </w:pPr>
            <w:r w:rsidRPr="00F56617">
              <w:rPr>
                <w:b/>
              </w:rPr>
              <w:t>LOCATION:</w:t>
            </w:r>
          </w:p>
        </w:tc>
        <w:tc>
          <w:tcPr>
            <w:tcW w:w="6498" w:type="dxa"/>
            <w:tcBorders>
              <w:top w:val="single" w:sz="4" w:space="0" w:color="auto"/>
              <w:bottom w:val="single" w:sz="4" w:space="0" w:color="auto"/>
            </w:tcBorders>
          </w:tcPr>
          <w:p w14:paraId="7A50E090" w14:textId="77777777" w:rsidR="00F715FA" w:rsidRPr="000F4B9E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7440E376" w14:textId="77777777" w:rsidR="00F715FA" w:rsidRDefault="00F715FA" w:rsidP="00F715FA">
      <w:pPr>
        <w:pStyle w:val="ListParagraph"/>
        <w:spacing w:after="0" w:line="240" w:lineRule="auto"/>
        <w:ind w:left="0"/>
        <w:rPr>
          <w:b/>
          <w:sz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420"/>
      </w:tblGrid>
      <w:tr w:rsidR="00F715FA" w:rsidRPr="00CB1BA2" w14:paraId="0C0F1104" w14:textId="77777777" w:rsidTr="001855D7">
        <w:tc>
          <w:tcPr>
            <w:tcW w:w="6750" w:type="dxa"/>
            <w:gridSpan w:val="2"/>
          </w:tcPr>
          <w:p w14:paraId="7863144F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  <w:r w:rsidRPr="00C842AA">
              <w:rPr>
                <w:b/>
              </w:rPr>
              <w:t>EXPENSES:</w:t>
            </w:r>
          </w:p>
        </w:tc>
      </w:tr>
      <w:tr w:rsidR="00F715FA" w:rsidRPr="00CB1BA2" w14:paraId="1ACF493D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390C72BD" w14:textId="77777777" w:rsidR="00F715FA" w:rsidRPr="00F56617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 w:rsidRPr="00F56617">
              <w:rPr>
                <w:sz w:val="24"/>
              </w:rPr>
              <w:t>Registration or tuition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D9A7D8D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CB1BA2" w14:paraId="7EDE8752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1D3979C9" w14:textId="77777777" w:rsidR="00F715FA" w:rsidRPr="00F56617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 w:rsidRPr="00F56617">
              <w:rPr>
                <w:sz w:val="24"/>
              </w:rPr>
              <w:t>Travel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4101D894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CB1BA2" w14:paraId="68AEF662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39FA41A9" w14:textId="77777777" w:rsidR="00F715FA" w:rsidRPr="00F56617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 w:rsidRPr="00F56617">
              <w:rPr>
                <w:sz w:val="24"/>
              </w:rPr>
              <w:t>Accommodation</w:t>
            </w:r>
            <w:r>
              <w:rPr>
                <w:sz w:val="24"/>
              </w:rPr>
              <w:t xml:space="preserve"> &amp; Meals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0B5C763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CB1BA2" w14:paraId="32BC95A9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1B2EEA24" w14:textId="77777777" w:rsidR="00F715FA" w:rsidRPr="00F56617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 w:rsidRPr="00F56617">
              <w:rPr>
                <w:sz w:val="24"/>
              </w:rPr>
              <w:t>Course Materials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1D92710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CB1BA2" w14:paraId="16350725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07C6502F" w14:textId="77777777" w:rsidR="00F715FA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Other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5DFEE21B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:rsidRPr="00CB1BA2" w14:paraId="74913E1E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0B5FC80C" w14:textId="77777777" w:rsidR="00F715FA" w:rsidRPr="00E27AA5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748A3146" w14:textId="77777777" w:rsidR="00F715FA" w:rsidRPr="00CB1BA2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08F0AC68" w14:textId="77777777" w:rsidR="00F715FA" w:rsidRDefault="00F715FA" w:rsidP="00F715FA">
      <w:pPr>
        <w:pStyle w:val="ListParagraph"/>
        <w:spacing w:after="0" w:line="240" w:lineRule="auto"/>
        <w:ind w:left="0"/>
        <w:rPr>
          <w:b/>
          <w:sz w:val="24"/>
        </w:rPr>
      </w:pPr>
    </w:p>
    <w:p w14:paraId="1412CEC7" w14:textId="77777777" w:rsidR="00F715FA" w:rsidRPr="00F56617" w:rsidRDefault="00F715FA" w:rsidP="00F715FA">
      <w:pPr>
        <w:pStyle w:val="ListParagraph"/>
        <w:spacing w:after="0" w:line="240" w:lineRule="auto"/>
        <w:ind w:left="0"/>
        <w:rPr>
          <w:b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5891"/>
      </w:tblGrid>
      <w:tr w:rsidR="00F715FA" w:rsidRPr="00FB7FF2" w14:paraId="22D1CC22" w14:textId="77777777" w:rsidTr="001855D7">
        <w:tc>
          <w:tcPr>
            <w:tcW w:w="9378" w:type="dxa"/>
            <w:gridSpan w:val="2"/>
          </w:tcPr>
          <w:p w14:paraId="30936D38" w14:textId="77777777" w:rsidR="00F715FA" w:rsidRPr="00F56617" w:rsidRDefault="00F715FA" w:rsidP="001855D7">
            <w:pPr>
              <w:pStyle w:val="ListParagraph"/>
              <w:ind w:left="0"/>
              <w:rPr>
                <w:b/>
              </w:rPr>
            </w:pPr>
            <w:r w:rsidRPr="00F56617">
              <w:rPr>
                <w:b/>
              </w:rPr>
              <w:t>OTHER FUNDING OR SUPPORT RECEIVED FOR THIS EVENT:</w:t>
            </w:r>
          </w:p>
        </w:tc>
      </w:tr>
      <w:tr w:rsidR="00F715FA" w14:paraId="5DA7F192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6590FAD2" w14:textId="77777777" w:rsidR="00F715FA" w:rsidRPr="00F56617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 w:rsidRPr="00F56617">
              <w:rPr>
                <w:sz w:val="24"/>
              </w:rPr>
              <w:t>Employer or granting agency</w:t>
            </w:r>
          </w:p>
        </w:tc>
        <w:tc>
          <w:tcPr>
            <w:tcW w:w="6048" w:type="dxa"/>
            <w:tcBorders>
              <w:bottom w:val="single" w:sz="4" w:space="0" w:color="auto"/>
            </w:tcBorders>
            <w:vAlign w:val="center"/>
          </w:tcPr>
          <w:p w14:paraId="05F330E8" w14:textId="77777777" w:rsidR="00F715FA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14:paraId="24775CF4" w14:textId="77777777" w:rsidTr="001855D7">
        <w:trPr>
          <w:cantSplit/>
          <w:trHeight w:val="648"/>
        </w:trPr>
        <w:tc>
          <w:tcPr>
            <w:tcW w:w="3330" w:type="dxa"/>
            <w:vAlign w:val="center"/>
          </w:tcPr>
          <w:p w14:paraId="0EEB5E36" w14:textId="77777777" w:rsidR="00F715FA" w:rsidRPr="00F56617" w:rsidRDefault="00F715FA" w:rsidP="001855D7">
            <w:pPr>
              <w:pStyle w:val="ListParagraph"/>
              <w:ind w:left="0"/>
              <w:jc w:val="right"/>
              <w:rPr>
                <w:sz w:val="24"/>
              </w:rPr>
            </w:pPr>
            <w:r w:rsidRPr="00F56617">
              <w:rPr>
                <w:sz w:val="24"/>
              </w:rPr>
              <w:t>TOTAL</w:t>
            </w:r>
          </w:p>
        </w:tc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9EDDE" w14:textId="77777777" w:rsidR="00F715FA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</w:tbl>
    <w:p w14:paraId="1235C77F" w14:textId="77777777" w:rsidR="00F715FA" w:rsidRDefault="00F715FA" w:rsidP="00F715FA">
      <w:pPr>
        <w:pStyle w:val="ListParagraph"/>
        <w:spacing w:after="0" w:line="240" w:lineRule="auto"/>
        <w:ind w:left="0"/>
        <w:rPr>
          <w:b/>
          <w:sz w:val="24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0"/>
        <w:gridCol w:w="606"/>
        <w:gridCol w:w="3106"/>
      </w:tblGrid>
      <w:tr w:rsidR="00F715FA" w14:paraId="27350851" w14:textId="77777777" w:rsidTr="001855D7">
        <w:tc>
          <w:tcPr>
            <w:tcW w:w="9378" w:type="dxa"/>
            <w:gridSpan w:val="3"/>
          </w:tcPr>
          <w:p w14:paraId="34331839" w14:textId="77777777" w:rsidR="00F715FA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I DECLARE THAT THIS INFORMATION IS TRUE AND CORRECT:</w:t>
            </w:r>
          </w:p>
        </w:tc>
      </w:tr>
      <w:tr w:rsidR="00F715FA" w14:paraId="7B09CB5D" w14:textId="77777777" w:rsidTr="001855D7">
        <w:trPr>
          <w:cantSplit/>
          <w:trHeight w:val="702"/>
        </w:trPr>
        <w:tc>
          <w:tcPr>
            <w:tcW w:w="5580" w:type="dxa"/>
            <w:tcBorders>
              <w:bottom w:val="single" w:sz="4" w:space="0" w:color="auto"/>
            </w:tcBorders>
          </w:tcPr>
          <w:p w14:paraId="388CDB73" w14:textId="77777777" w:rsidR="00F715FA" w:rsidRPr="004523AA" w:rsidRDefault="00F715FA" w:rsidP="001855D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618" w:type="dxa"/>
          </w:tcPr>
          <w:p w14:paraId="0ECBA452" w14:textId="77777777" w:rsidR="00F715FA" w:rsidRDefault="00F715FA" w:rsidP="001855D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14:paraId="356B9397" w14:textId="77777777" w:rsidR="00F715FA" w:rsidRDefault="00F715FA" w:rsidP="001855D7">
            <w:pPr>
              <w:pStyle w:val="ListParagraph"/>
              <w:ind w:left="0"/>
              <w:rPr>
                <w:b/>
                <w:sz w:val="24"/>
              </w:rPr>
            </w:pPr>
          </w:p>
        </w:tc>
      </w:tr>
      <w:tr w:rsidR="00F715FA" w14:paraId="15397B0F" w14:textId="77777777" w:rsidTr="001855D7">
        <w:trPr>
          <w:cantSplit/>
          <w:trHeight w:val="252"/>
        </w:trPr>
        <w:tc>
          <w:tcPr>
            <w:tcW w:w="5580" w:type="dxa"/>
            <w:tcBorders>
              <w:top w:val="single" w:sz="4" w:space="0" w:color="auto"/>
            </w:tcBorders>
          </w:tcPr>
          <w:p w14:paraId="41CBA1E0" w14:textId="77777777" w:rsidR="00F715FA" w:rsidRDefault="00F715FA" w:rsidP="001855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618" w:type="dxa"/>
          </w:tcPr>
          <w:p w14:paraId="3C0DE837" w14:textId="77777777" w:rsidR="00F715FA" w:rsidRDefault="00F715FA" w:rsidP="001855D7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180" w:type="dxa"/>
          </w:tcPr>
          <w:p w14:paraId="7C9257A6" w14:textId="77777777" w:rsidR="00F715FA" w:rsidRDefault="00F715FA" w:rsidP="001855D7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14:paraId="06202A54" w14:textId="77777777" w:rsidR="00F715FA" w:rsidRPr="00F715FA" w:rsidRDefault="00F715FA" w:rsidP="00F715FA">
      <w:pPr>
        <w:spacing w:after="0" w:line="240" w:lineRule="auto"/>
        <w:rPr>
          <w:rFonts w:ascii="Malgun Gothic" w:eastAsia="Malgun Gothic" w:hAnsi="Malgun Gothic" w:cs="Malgun Gothic"/>
        </w:rPr>
      </w:pPr>
      <w:bookmarkStart w:id="0" w:name="_GoBack"/>
      <w:bookmarkEnd w:id="0"/>
    </w:p>
    <w:sectPr w:rsidR="00F715FA" w:rsidRPr="00F715F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81F06" w14:textId="77777777" w:rsidR="00D851DD" w:rsidRDefault="00D851DD" w:rsidP="0085475F">
      <w:pPr>
        <w:spacing w:after="0" w:line="240" w:lineRule="auto"/>
      </w:pPr>
      <w:r>
        <w:separator/>
      </w:r>
    </w:p>
  </w:endnote>
  <w:endnote w:type="continuationSeparator" w:id="0">
    <w:p w14:paraId="677D3031" w14:textId="77777777" w:rsidR="00D851DD" w:rsidRDefault="00D851DD" w:rsidP="0085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B10B" w14:textId="77777777" w:rsidR="008C68A9" w:rsidRPr="00F56617" w:rsidRDefault="00D851DD" w:rsidP="00C842AA">
    <w:pPr>
      <w:pStyle w:val="Footer"/>
      <w:jc w:val="cen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0588A" w14:textId="77777777" w:rsidR="00D851DD" w:rsidRDefault="00D851DD" w:rsidP="0085475F">
      <w:pPr>
        <w:spacing w:after="0" w:line="240" w:lineRule="auto"/>
      </w:pPr>
      <w:r>
        <w:separator/>
      </w:r>
    </w:p>
  </w:footnote>
  <w:footnote w:type="continuationSeparator" w:id="0">
    <w:p w14:paraId="64FB1DC1" w14:textId="77777777" w:rsidR="00D851DD" w:rsidRDefault="00D851DD" w:rsidP="0085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4BBC"/>
    <w:multiLevelType w:val="hybridMultilevel"/>
    <w:tmpl w:val="5A0E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8D"/>
    <w:rsid w:val="000012C1"/>
    <w:rsid w:val="00006BAB"/>
    <w:rsid w:val="00014909"/>
    <w:rsid w:val="0002366B"/>
    <w:rsid w:val="000278DD"/>
    <w:rsid w:val="00043871"/>
    <w:rsid w:val="000525ED"/>
    <w:rsid w:val="00075B58"/>
    <w:rsid w:val="00086BD1"/>
    <w:rsid w:val="000913FF"/>
    <w:rsid w:val="000B29D1"/>
    <w:rsid w:val="000C483B"/>
    <w:rsid w:val="000E2EB8"/>
    <w:rsid w:val="000E33DE"/>
    <w:rsid w:val="000E4127"/>
    <w:rsid w:val="000E5FB0"/>
    <w:rsid w:val="000F1EB0"/>
    <w:rsid w:val="00107D44"/>
    <w:rsid w:val="00115A05"/>
    <w:rsid w:val="001241B0"/>
    <w:rsid w:val="00126B54"/>
    <w:rsid w:val="00141A66"/>
    <w:rsid w:val="00143C6F"/>
    <w:rsid w:val="00153CAA"/>
    <w:rsid w:val="00156CB9"/>
    <w:rsid w:val="00157D06"/>
    <w:rsid w:val="00161D2D"/>
    <w:rsid w:val="0016241F"/>
    <w:rsid w:val="00165920"/>
    <w:rsid w:val="00171C0C"/>
    <w:rsid w:val="00177578"/>
    <w:rsid w:val="0019005E"/>
    <w:rsid w:val="001A2F11"/>
    <w:rsid w:val="001C1F61"/>
    <w:rsid w:val="001C5502"/>
    <w:rsid w:val="001D198E"/>
    <w:rsid w:val="001E1CE6"/>
    <w:rsid w:val="001F2E09"/>
    <w:rsid w:val="001F4387"/>
    <w:rsid w:val="001F43A5"/>
    <w:rsid w:val="002058BF"/>
    <w:rsid w:val="00207C4C"/>
    <w:rsid w:val="00217A41"/>
    <w:rsid w:val="00224C5F"/>
    <w:rsid w:val="00224E9B"/>
    <w:rsid w:val="00235C61"/>
    <w:rsid w:val="00241CAF"/>
    <w:rsid w:val="00243155"/>
    <w:rsid w:val="002540F6"/>
    <w:rsid w:val="00254D98"/>
    <w:rsid w:val="002565EB"/>
    <w:rsid w:val="00276A89"/>
    <w:rsid w:val="00286278"/>
    <w:rsid w:val="00287536"/>
    <w:rsid w:val="00295CB5"/>
    <w:rsid w:val="002A2DFC"/>
    <w:rsid w:val="002B26EB"/>
    <w:rsid w:val="002C67A3"/>
    <w:rsid w:val="002E7DFE"/>
    <w:rsid w:val="002F69EA"/>
    <w:rsid w:val="00301B34"/>
    <w:rsid w:val="00304C94"/>
    <w:rsid w:val="0030710D"/>
    <w:rsid w:val="0031320E"/>
    <w:rsid w:val="00325CA9"/>
    <w:rsid w:val="003267B9"/>
    <w:rsid w:val="0033283D"/>
    <w:rsid w:val="00332E2A"/>
    <w:rsid w:val="00343709"/>
    <w:rsid w:val="00343C46"/>
    <w:rsid w:val="00354642"/>
    <w:rsid w:val="00370346"/>
    <w:rsid w:val="0038304F"/>
    <w:rsid w:val="003B2082"/>
    <w:rsid w:val="003C799B"/>
    <w:rsid w:val="003D1893"/>
    <w:rsid w:val="003D1FDD"/>
    <w:rsid w:val="003D7D7A"/>
    <w:rsid w:val="00414751"/>
    <w:rsid w:val="00416F21"/>
    <w:rsid w:val="004371DC"/>
    <w:rsid w:val="004423E8"/>
    <w:rsid w:val="00461CAF"/>
    <w:rsid w:val="00463CBE"/>
    <w:rsid w:val="00475DFC"/>
    <w:rsid w:val="004860C8"/>
    <w:rsid w:val="00490F2D"/>
    <w:rsid w:val="004915C5"/>
    <w:rsid w:val="004E1947"/>
    <w:rsid w:val="004E3335"/>
    <w:rsid w:val="005162F8"/>
    <w:rsid w:val="00523891"/>
    <w:rsid w:val="005239D4"/>
    <w:rsid w:val="00526A2F"/>
    <w:rsid w:val="00532987"/>
    <w:rsid w:val="00536AA1"/>
    <w:rsid w:val="005471FE"/>
    <w:rsid w:val="0055134C"/>
    <w:rsid w:val="005B5035"/>
    <w:rsid w:val="005E371E"/>
    <w:rsid w:val="00602BFE"/>
    <w:rsid w:val="00603077"/>
    <w:rsid w:val="00605ED2"/>
    <w:rsid w:val="00617E44"/>
    <w:rsid w:val="00626356"/>
    <w:rsid w:val="006457C5"/>
    <w:rsid w:val="006459D1"/>
    <w:rsid w:val="00652811"/>
    <w:rsid w:val="00660BC6"/>
    <w:rsid w:val="00660F0F"/>
    <w:rsid w:val="0067093B"/>
    <w:rsid w:val="0067316D"/>
    <w:rsid w:val="00694B37"/>
    <w:rsid w:val="006C0189"/>
    <w:rsid w:val="006C33FF"/>
    <w:rsid w:val="0070415C"/>
    <w:rsid w:val="00711F54"/>
    <w:rsid w:val="00721051"/>
    <w:rsid w:val="00723577"/>
    <w:rsid w:val="00733784"/>
    <w:rsid w:val="00740400"/>
    <w:rsid w:val="00771DAE"/>
    <w:rsid w:val="00791F93"/>
    <w:rsid w:val="00793223"/>
    <w:rsid w:val="00794CAB"/>
    <w:rsid w:val="00797F90"/>
    <w:rsid w:val="007A2E27"/>
    <w:rsid w:val="007A4D0A"/>
    <w:rsid w:val="007C67AE"/>
    <w:rsid w:val="007C6E66"/>
    <w:rsid w:val="007D5244"/>
    <w:rsid w:val="007D672B"/>
    <w:rsid w:val="007E209A"/>
    <w:rsid w:val="00820148"/>
    <w:rsid w:val="00835E52"/>
    <w:rsid w:val="008445BE"/>
    <w:rsid w:val="0085475F"/>
    <w:rsid w:val="008727C6"/>
    <w:rsid w:val="00895211"/>
    <w:rsid w:val="008A2592"/>
    <w:rsid w:val="008B30C0"/>
    <w:rsid w:val="008C3AD7"/>
    <w:rsid w:val="008C4E1C"/>
    <w:rsid w:val="008D5B5F"/>
    <w:rsid w:val="008E6FC3"/>
    <w:rsid w:val="0091084B"/>
    <w:rsid w:val="00920BE8"/>
    <w:rsid w:val="00933FF2"/>
    <w:rsid w:val="0094019B"/>
    <w:rsid w:val="0094496D"/>
    <w:rsid w:val="00954E69"/>
    <w:rsid w:val="0095736F"/>
    <w:rsid w:val="00964041"/>
    <w:rsid w:val="0097167C"/>
    <w:rsid w:val="009A4BA5"/>
    <w:rsid w:val="009B013C"/>
    <w:rsid w:val="009D4B2C"/>
    <w:rsid w:val="009F201A"/>
    <w:rsid w:val="00A0006B"/>
    <w:rsid w:val="00A01384"/>
    <w:rsid w:val="00A1441B"/>
    <w:rsid w:val="00A1687A"/>
    <w:rsid w:val="00A52E11"/>
    <w:rsid w:val="00A541F6"/>
    <w:rsid w:val="00A54D58"/>
    <w:rsid w:val="00A608E2"/>
    <w:rsid w:val="00A8744A"/>
    <w:rsid w:val="00AA03CE"/>
    <w:rsid w:val="00AA0A67"/>
    <w:rsid w:val="00AA11F0"/>
    <w:rsid w:val="00AB4DFF"/>
    <w:rsid w:val="00AC58FE"/>
    <w:rsid w:val="00AC6BBC"/>
    <w:rsid w:val="00AD2030"/>
    <w:rsid w:val="00AD205B"/>
    <w:rsid w:val="00AD2D86"/>
    <w:rsid w:val="00AE0302"/>
    <w:rsid w:val="00AE0D7E"/>
    <w:rsid w:val="00AE55DB"/>
    <w:rsid w:val="00AE570C"/>
    <w:rsid w:val="00AF4737"/>
    <w:rsid w:val="00B0288D"/>
    <w:rsid w:val="00B23739"/>
    <w:rsid w:val="00B32C43"/>
    <w:rsid w:val="00B5112F"/>
    <w:rsid w:val="00B676EA"/>
    <w:rsid w:val="00B740FE"/>
    <w:rsid w:val="00B848B2"/>
    <w:rsid w:val="00B9157F"/>
    <w:rsid w:val="00B96868"/>
    <w:rsid w:val="00BA3F93"/>
    <w:rsid w:val="00BA73CC"/>
    <w:rsid w:val="00BB2B53"/>
    <w:rsid w:val="00BB5167"/>
    <w:rsid w:val="00BB607B"/>
    <w:rsid w:val="00BB6670"/>
    <w:rsid w:val="00BC0CAA"/>
    <w:rsid w:val="00BC297A"/>
    <w:rsid w:val="00BD4C5A"/>
    <w:rsid w:val="00BF0D62"/>
    <w:rsid w:val="00BF7D00"/>
    <w:rsid w:val="00C16C1D"/>
    <w:rsid w:val="00C40C0B"/>
    <w:rsid w:val="00C6392E"/>
    <w:rsid w:val="00C72D93"/>
    <w:rsid w:val="00C87C9F"/>
    <w:rsid w:val="00CA0EE9"/>
    <w:rsid w:val="00CA7CE9"/>
    <w:rsid w:val="00CD1320"/>
    <w:rsid w:val="00CD300F"/>
    <w:rsid w:val="00CD42D0"/>
    <w:rsid w:val="00CE7A5A"/>
    <w:rsid w:val="00CF5B6A"/>
    <w:rsid w:val="00CF65FE"/>
    <w:rsid w:val="00CF69FA"/>
    <w:rsid w:val="00D0767B"/>
    <w:rsid w:val="00D107A4"/>
    <w:rsid w:val="00D14672"/>
    <w:rsid w:val="00D851DD"/>
    <w:rsid w:val="00D91FD2"/>
    <w:rsid w:val="00D9251C"/>
    <w:rsid w:val="00D9585F"/>
    <w:rsid w:val="00DC2FF3"/>
    <w:rsid w:val="00DC4FCA"/>
    <w:rsid w:val="00DD19E6"/>
    <w:rsid w:val="00DD2B9C"/>
    <w:rsid w:val="00DE3C31"/>
    <w:rsid w:val="00DE3CA2"/>
    <w:rsid w:val="00DF0F20"/>
    <w:rsid w:val="00DF3059"/>
    <w:rsid w:val="00E06C02"/>
    <w:rsid w:val="00E10622"/>
    <w:rsid w:val="00E31E6C"/>
    <w:rsid w:val="00E507CE"/>
    <w:rsid w:val="00E5191C"/>
    <w:rsid w:val="00E6378B"/>
    <w:rsid w:val="00E64EE5"/>
    <w:rsid w:val="00E76FCE"/>
    <w:rsid w:val="00ED0543"/>
    <w:rsid w:val="00EE0754"/>
    <w:rsid w:val="00EE07BF"/>
    <w:rsid w:val="00EE45AF"/>
    <w:rsid w:val="00EF1B34"/>
    <w:rsid w:val="00F01AAB"/>
    <w:rsid w:val="00F13302"/>
    <w:rsid w:val="00F163CC"/>
    <w:rsid w:val="00F24E80"/>
    <w:rsid w:val="00F55A97"/>
    <w:rsid w:val="00F67B35"/>
    <w:rsid w:val="00F715FA"/>
    <w:rsid w:val="00F878F4"/>
    <w:rsid w:val="00FA2B3E"/>
    <w:rsid w:val="00FE0199"/>
    <w:rsid w:val="00FE39F2"/>
    <w:rsid w:val="00FE4C28"/>
    <w:rsid w:val="3EC402EF"/>
    <w:rsid w:val="4B0F8792"/>
    <w:rsid w:val="7359A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13EE"/>
  <w15:docId w15:val="{81E03B2F-4A1F-4477-8577-E70D403C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D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8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8547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75F"/>
  </w:style>
  <w:style w:type="character" w:styleId="Hyperlink">
    <w:name w:val="Hyperlink"/>
    <w:basedOn w:val="DefaultParagraphFont"/>
    <w:uiPriority w:val="99"/>
    <w:unhideWhenUsed/>
    <w:rsid w:val="008547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4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75F"/>
  </w:style>
  <w:style w:type="table" w:styleId="TableGrid">
    <w:name w:val="Table Grid"/>
    <w:basedOn w:val="TableNormal"/>
    <w:uiPriority w:val="59"/>
    <w:rsid w:val="00F71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6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00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48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sotaward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449</Words>
  <Characters>2563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jenfisher</dc:creator>
  <cp:lastModifiedBy>Maxine Schon</cp:lastModifiedBy>
  <cp:revision>8</cp:revision>
  <cp:lastPrinted>2013-10-05T23:20:00Z</cp:lastPrinted>
  <dcterms:created xsi:type="dcterms:W3CDTF">2018-12-16T17:37:00Z</dcterms:created>
  <dcterms:modified xsi:type="dcterms:W3CDTF">2019-01-13T19:16:00Z</dcterms:modified>
</cp:coreProperties>
</file>